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08:35 МСК · База обновлена: 22.07.2026, 09:39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М. 26 лет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повышение температуры до 37, 4°С, тошноту, снижение аппетита, рвоту после еды, «тяжесть» в эпигастрии и дискомфорт в правом подреберье, потемнение мочи, желтушное окрашивание склер.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Заболел остро с повышения температуры до 38,5°С, головной боли, боли в мышцах и суставах. Высокая лихорадка (38,5°С- 39,0°С) сохранялась в течении первых 3-х дней. Лечился дома самостоятельно от «простуды». К врачу не обращался.</w:t>
        <w:br/>
        <w:t>•</w:t>
        <w:tab/>
        <w:t>В последующие дни появились тошнота, ощущение «тяжести» в эпигастрии и правом подреберье, пропал аппетит.</w:t>
        <w:br/>
        <w:t>•</w:t>
        <w:tab/>
        <w:t>На 6-й день болезни отметил потемнение мочи. Окружающие заметили желтуху, что послужило причиной обращения к врачу.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Работает менеджером-консультантом в торговом зале.</w:t>
        <w:br/>
        <w:t>•</w:t>
        <w:tab/>
        <w:t>Проживает в отдельной квартире с родителями.</w:t>
        <w:br/>
        <w:t>•</w:t>
        <w:tab/>
        <w:t>Аллергоанамнез: не отягощен.</w:t>
        <w:br/>
        <w:t>•</w:t>
        <w:tab/>
        <w:t>Перенесенные инфекционные и неинфекционные заболевания: детские инфекции, простудные заболевания.</w:t>
        <w:br/>
        <w:t>•</w:t>
        <w:tab/>
        <w:t>Вредные привычки: отрицает.</w:t>
        <w:br/>
        <w:t>•</w:t>
        <w:tab/>
        <w:t>Парентеральный анамнез не отягощен.</w:t>
        <w:br/>
        <w:t>•</w:t>
        <w:tab/>
        <w:t>За полтора месяца до настоящего заболевания выезжал на отдых в Краснодарский край (проживал в частном секторе), пользовался услугами общепита.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•</w:t>
        <w:tab/>
        <w:t>Температура тела 36,5°С.</w:t>
        <w:br/>
        <w:t>•</w:t>
        <w:tab/>
        <w:t>Кожа и склеры желтушны, сыпи нет.</w:t>
        <w:br/>
        <w:t>•</w:t>
        <w:tab/>
        <w:t>Язык сухой, обложен белым налетом.</w:t>
        <w:br/>
        <w:t>•</w:t>
        <w:tab/>
        <w:t>Живот мягкий, чувствителен при пальпации в правом подреберье.</w:t>
        <w:br/>
        <w:t>•</w:t>
        <w:tab/>
        <w:t>Печень выступает из-под края реберной дуги на 3 см, мягко-эластичной консистенции, чувствительна при пальпации. Пальпируется полюс селезенки.</w:t>
        <w:br/>
        <w:t>•</w:t>
        <w:tab/>
        <w:t>Моча темная, стул ахоличен.</w:t>
        <w:br/>
        <w:t>•</w:t>
        <w:tab/>
        <w:t>АД – 100/60 мм.рт.ст, ЧСС – 60 уд. в мин.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и оценки степени тяжести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ДНК-диагностика уридинфосфатглюкуронилтрансферазы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протромбинового индекса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альфа-фетопротеина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ИФА для определения маркеров вирусных гепатитов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церулоплазмина  сыворотки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определение протромбинового индекса; 3 — биохимический анализ крови; 5 — ИФА для определения маркеров вирусных гепатитов</w:t>
      </w:r>
    </w:p>
    <w:p>
      <w:pPr>
        <w:ind w:left="504"/>
      </w:pPr>
      <w:r>
        <w:rPr>
          <w:b w:val="0"/>
          <w:i/>
        </w:rPr>
        <w:t>Недостаточность белково-синтетической функции печени проявляется в количественном снижении факторов свертывания крови, истощения прокоагулянтного звена гемостаза. Практическое значение в оценке степени тяжести течения гепатита имеет факт снижения протромбинового индекса, что клинически проявляется развитием геморрагического синдрома.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диагностики поражения печени в биохимическом анализе крови определяется наличие и выраженность синдромов цитолиза, холестаза и мезенхимального воспаления.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Специфическим методом ранней диагностики всех форм острых вирусных гепатитов является обнаружение с помощью ИФА маркеров вирусных гепатитов (антигенов и антител с учетом классов иммуноглобулинов) в сыворотке крови.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сцинтиграфия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эзофагодуоденоскопия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эластография печени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УЗИ органов брюшной полости</w:t>
      </w:r>
    </w:p>
    <w:p>
      <w:pPr>
        <w:ind w:left="504"/>
      </w:pPr>
      <w:r>
        <w:rPr>
          <w:b w:val="0"/>
          <w:i/>
        </w:rPr>
        <w:t>Показано пациентам с клиническими симптомами острого ВГ для уточнения размеров печени, селезенки, поджелудочной железы, лимфатических узлов и оценки их структуры в острый период и в динамике процесса. А также для дифференциальной диагностики заболеваний, сопровождающихся развитием желтушного синдрома.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клинико-анамнестические, лабораторные и инструментальные данные обследования, можно думать о диагнозе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Вирусный гепатит А, желтушная форма,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Желчекаменная болезнь. Острый калькулезный холецистит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Жильбера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вирусный гепатит С, желтушная форма, средней степени тяжести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Вирусный гепатит А, желтушная форма, средней степени тяжести</w:t>
      </w:r>
    </w:p>
    <w:p>
      <w:pPr>
        <w:ind w:left="504"/>
      </w:pPr>
      <w:r>
        <w:rPr>
          <w:b w:val="0"/>
          <w:i/>
        </w:rPr>
        <w:t>Учитывая данные анамнеза заболевания: цикличности течения с дожелтушным периодом по смешанному варианту, последующим развитием желтушного синдрома, появлением гепатоспленомегалии, данные эпид анамнеза, а также данные лабораторного исследования, можно думать о диагнозе: вирусный гепатит А, желтушная форма, средней степени тяжести.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Клиническим критерием тяжелого течения острого вирусного гепатита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пальмарной эритемы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«сосудистых звездочек» на коже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увеличения размеров печени на фоне нарастающей желтухи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геморрагического синдрома</w:t>
      </w:r>
    </w:p>
    <w:p>
      <w:pPr>
        <w:ind w:left="504"/>
      </w:pPr>
      <w:r>
        <w:rPr>
          <w:b w:val="0"/>
          <w:i/>
        </w:rPr>
        <w:t>Тяжелую форму гепатита характеризуют, помимо нарастания признаков интоксикации, новые клинические симптомы: головокружение, мелькание мушек перед глазами и адинамия, к которым могут присоединиться геморрагический синдром, тахикардия, болезненность в области печени, склонность к задержке жидкости, лихорадка с нейтрофильным лейкоцитозом.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значимым лабораторным критерием тяжелого течения острого вирусного гепатита 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трансаминазно-билирубиновая диссоциация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активности транасаминаз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высокий уровень содержания прямой фракции билирубина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уровня содержания протромбина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 уровня содержания протромбина в крови</w:t>
      </w:r>
    </w:p>
    <w:p>
      <w:pPr>
        <w:ind w:left="504"/>
      </w:pPr>
      <w:r>
        <w:rPr>
          <w:b w:val="0"/>
          <w:i/>
        </w:rPr>
        <w:t>Биохимические признаки характерные для тяжелого течения: протромбиновый индекс, более высокий показатель АСТ по сравнению с АЛТ, появление при нарастании тяжести билирубино-ферментной диссоциации - снижение уровня активности аминотрансфераз с одновременным повышением уровня билирубина крови.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Возможным осложнением вирусного гепатита 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острая печеночная энцефалопатия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перфорация стенки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инфекционно-токсический 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гиповолемический шок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острая печеночная энцефалопатия</w:t>
      </w:r>
    </w:p>
    <w:p>
      <w:pPr>
        <w:ind w:left="504"/>
      </w:pPr>
      <w:r>
        <w:rPr>
          <w:b w:val="0"/>
          <w:i/>
        </w:rPr>
        <w:t>При тяжелом течении гепатита, в связи с нарушением детоксикационной функции печени, накоплением в крови продуктов тканевого распада и бактериальных антигенов в результате активизации условно-патогенной  микрофлоры кишечника в отсутствии желчи и по мере истощения компенсаторных возможностей печени появляются симптомы острой печеночной недостаточности, в том числе нарушение функции ЦНС, с развитием острой печеночной энцефалопатии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Базисной терапией вирусного гепатита 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противовирусная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иммуномодулирующая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дезинтоксикационная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дезинтоксикационная</w:t>
      </w:r>
    </w:p>
    <w:p>
      <w:pPr>
        <w:ind w:left="504"/>
      </w:pPr>
      <w:r>
        <w:rPr>
          <w:b w:val="0"/>
          <w:i/>
        </w:rPr>
        <w:t>Дезинтоксикационная терапия направлена на купирование синдрома интоксикации,ее объем зависит от степени тяжести пациента.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С целью дезинтоксикации больным среднетяжелой формой вирусного гепатита А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низкорезорбтивные антибиотики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энтеросорбенты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эссенциальные фосфолипиды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аминокислоты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энтеросорбенты</w:t>
      </w:r>
    </w:p>
    <w:p>
      <w:pPr>
        <w:ind w:left="504"/>
      </w:pPr>
      <w:r>
        <w:rPr>
          <w:b w:val="0"/>
          <w:i/>
        </w:rPr>
        <w:t>Больным среднетяжёлой формой ВГА кроме базисной терапии с целью дезинтоксикации назначают энтеросорбенты, а при тошноте, отказе от питья внутривенно капельно 5% раствор глюкозы*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Всем больным ГА для нормализации функции ЖКТ назначают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лактулозу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адеметионин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препараты из группы нитроимидазолов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эссенциальные фосфолипиды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лактулозу</w:t>
      </w:r>
    </w:p>
    <w:p>
      <w:pPr>
        <w:ind w:left="504"/>
      </w:pPr>
      <w:r>
        <w:rPr>
          <w:b w:val="0"/>
          <w:i/>
        </w:rPr>
        <w:t>Лактулоза - слабительное средство. Вызывает изменение флоры толстой кишки (увеличение количества лактобацилл), что приводит к повышению кислотности в просвете толстой кишки и стимулирует его перистальтику. Наряду с этим увеличивается объем и происходит размягчение каловых масс. В результате развивается слабительный эффект, без непосредственного влияния на слизистую оболочку и гладкую мускулатуру толстой кишки. Под действием лактулозы происходит также поглощение аммиака в толстой кишке, уменьшение образования азотсодержащих токсических веществ в его проксимальном отделе и, соответственно, всасывания их в систему полой вены. Средство используется в качестве дезинтоксикационной терапии.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лечении вирусного гепатита А с холестатическим синдромом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эссенциальные фосфолипиды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орнитин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урсодезоксихолевую кислоту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рибавирин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урсодезоксихолевую кислоту</w:t>
      </w:r>
    </w:p>
    <w:p>
      <w:pPr>
        <w:ind w:left="504"/>
      </w:pPr>
      <w:r>
        <w:rPr>
          <w:b w:val="0"/>
          <w:i/>
        </w:rPr>
        <w:t>Урсодезоксихолевая кислота за счет образования безопасных комплексов с токсичными желчными кислотами нейтрализует их, предотвращая повреждающее действие на мембраны клеток. Также влияет на печеночную рециркуляцию желчных кислот (на их обратное всасывание из кишечника в желчь), уменьшает всасывание холестерина в кишечнике.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целях профилактики инфицирования вирусным гепатитом А назначают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иммуномодуляторы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противовирусные препараты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вакцинацию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интерфероны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вакцинацию</w:t>
      </w:r>
    </w:p>
    <w:p>
      <w:pPr>
        <w:ind w:left="504"/>
      </w:pPr>
      <w:r>
        <w:rPr>
          <w:b w:val="0"/>
          <w:i/>
        </w:rPr>
        <w:t>Специфическую профилактику осуществляют инактивированными вакцинами. В России зарегистрированы несколько как отечественных, так и зарубежных вакцин. Применяют двукратное введение вакцины, что обеспечивает длительную (до 25 лет) защиту от ГA. В национальный календарь профилактических прививок вакцинация против ГA включена по эпидемическим показаниям.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Пациенты, перенесшие острый вирусный гепатит А подлежат диспансеризации в течение \______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6-9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3-6</w:t>
      </w:r>
    </w:p>
    <w:p>
      <w:pPr>
        <w:ind w:left="504"/>
      </w:pPr>
      <w:r>
        <w:rPr>
          <w:b w:val="0"/>
          <w:i/>
        </w:rPr>
        <w:t>Реконвалесценты ГA находятся на диспансерном наблюдении в КИЗ в течение 3-6 мес в зависимости от их самочувствия, быстроты нормализации размеров печени и динамики биохимических исследований.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Клинические рекомендации Минздрава России. Острый гепатит A (ГА) у взрослых, 2025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718_2/" TargetMode="External"/><Relationship Id="rId23" Type="http://schemas.openxmlformats.org/officeDocument/2006/relationships/hyperlink" Target="https://library.mededtech.ru/rest/documents/KP718_2/#list_item_66s8vo" TargetMode="External"/><Relationship Id="rId24" Type="http://schemas.openxmlformats.org/officeDocument/2006/relationships/hyperlink" Target="https://library.mededtech.ru/rest/documents/KP718_2/#list_item_6qkmim" TargetMode="External"/><Relationship Id="rId25" Type="http://schemas.openxmlformats.org/officeDocument/2006/relationships/hyperlink" Target="https://library.mededtech.ru/rest/documents/KP718_2/#list_item_llnsql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KP718_2/#list_item_1a1vab" TargetMode="External"/><Relationship Id="rId28" Type="http://schemas.openxmlformats.org/officeDocument/2006/relationships/hyperlink" Target="https://library.mededtech.ru/rest/documents/KP718_2/#paragraph_fhuafc" TargetMode="External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ISBN9785970465196/?anchor=paragraph_3n1rl9#paragraph_3n1rl9" TargetMode="External"/><Relationship Id="rId31" Type="http://schemas.openxmlformats.org/officeDocument/2006/relationships/hyperlink" Target="https://library.mededtech.ru/rest/documents/KP718_2/#paragraph_gp2rfb" TargetMode="External"/><Relationship Id="rId32" Type="http://schemas.openxmlformats.org/officeDocument/2006/relationships/hyperlink" Target="https://library.mededtech.ru/rest/documents/ISBN9785970465196/?anchor=paragraph_l05955#paragraph_l05955" TargetMode="External"/><Relationship Id="rId33" Type="http://schemas.openxmlformats.org/officeDocument/2006/relationships/hyperlink" Target="https://library.mededtech.ru/rest/documents/KP718_2/#paragraph_lpu2hp" TargetMode="External"/><Relationship Id="rId34" Type="http://schemas.openxmlformats.org/officeDocument/2006/relationships/hyperlink" Target="https://library.mededtech.ru/rest/documents/KP718_2/#list_item_q3mgdh" TargetMode="External"/><Relationship Id="rId35" Type="http://schemas.openxmlformats.org/officeDocument/2006/relationships/hyperlink" Target="https://library.mededtech.ru/rest/documents/ISBN9785970465196/?anchor=paragraph_2f78j4#paragraph_2f78j4" TargetMode="External"/><Relationship Id="rId36" Type="http://schemas.openxmlformats.org/officeDocument/2006/relationships/hyperlink" Target="https://library.mededtech.ru/rest/documents/ISBN9785970465196/?anchor=paragraph_o5sc95#paragraph_o5sc95" TargetMode="External"/><Relationship Id="rId37" Type="http://schemas.openxmlformats.org/officeDocument/2006/relationships/hyperlink" Target="https://library.mededtech.ru/rest/documents/KP718_2/#list_item_njq448" TargetMode="External"/><Relationship Id="rId38" Type="http://schemas.openxmlformats.org/officeDocument/2006/relationships/hyperlink" Target="https://library.mededtech.ru/rest/documents/KP718_2/#list_item_2iav11" TargetMode="External"/><Relationship Id="rId39" Type="http://schemas.openxmlformats.org/officeDocument/2006/relationships/hyperlink" Target="https://library.mededtech.ru/rest/documents/ISBN9785970465196/?anchor=paragraph_306e9u#paragraph_306e9u" TargetMode="External"/><Relationship Id="rId40" Type="http://schemas.openxmlformats.org/officeDocument/2006/relationships/hyperlink" Target="https://library.mededtech.ru/rest/documents/KP718_2/#paragraph_itqadd" TargetMode="External"/><Relationship Id="rId41" Type="http://schemas.openxmlformats.org/officeDocument/2006/relationships/hyperlink" Target="https://library.mededtech.ru/rest/documents/ISBN9785970465196/?anchor=paragraph_skm3i2#paragraph_skm3i2" TargetMode="External"/><Relationship Id="rId42" Type="http://schemas.openxmlformats.org/officeDocument/2006/relationships/hyperlink" Target="https://library.mededtech.ru/rest/documents/KP718_2/#list_item_r1bu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